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1"/>
        <w:spacing w:before="0" w:after="4040"/>
        <w:rPr/>
      </w:pPr>
      <w:r>
        <w:rPr/>
        <w:t>ООО «Гирон»</w:t>
      </w:r>
    </w:p>
    <w:p>
      <w:pPr>
        <w:pStyle w:val="13"/>
        <w:keepNext w:val="true"/>
        <w:keepLines/>
        <w:rPr/>
      </w:pPr>
      <w:bookmarkStart w:id="0" w:name="bookmark2"/>
      <w:bookmarkStart w:id="1" w:name="bookmark1"/>
      <w:bookmarkStart w:id="2" w:name="bookmark0"/>
      <w:r>
        <w:rPr/>
        <w:t xml:space="preserve"> </w:t>
      </w:r>
      <w:r>
        <w:rPr/>
        <w:t>«</w:t>
      </w:r>
      <w:r>
        <w:rPr>
          <w:lang w:val="en-US"/>
        </w:rPr>
        <w:t>Billberry</w:t>
      </w:r>
      <w:r>
        <w:rPr/>
        <w:t xml:space="preserve"> </w:t>
      </w:r>
      <w:r>
        <w:rPr>
          <w:lang w:val="en-US"/>
        </w:rPr>
        <w:t>Billing</w:t>
      </w:r>
      <w:r>
        <w:rPr/>
        <w:t>»</w:t>
      </w:r>
      <w:bookmarkEnd w:id="0"/>
      <w:bookmarkEnd w:id="1"/>
      <w:bookmarkEnd w:id="2"/>
    </w:p>
    <w:p>
      <w:pPr>
        <w:sectPr>
          <w:type w:val="nextPage"/>
          <w:pgSz w:w="11906" w:h="16838"/>
          <w:pgMar w:left="1670" w:right="1105" w:gutter="0" w:header="0" w:top="1134" w:footer="0" w:bottom="1134"/>
          <w:pgNumType w:start="1" w:fmt="decimal"/>
          <w:formProt w:val="false"/>
          <w:textDirection w:val="lrTb"/>
          <w:docGrid w:type="default" w:linePitch="360" w:charSpace="0"/>
        </w:sectPr>
        <w:pStyle w:val="31"/>
        <w:rPr/>
      </w:pPr>
      <w:r>
        <w:rPr/>
        <w:t>описание функциональных характеристик экземпляра</w:t>
        <w:br/>
        <w:t>программного обеспечения</w:t>
      </w:r>
    </w:p>
    <w:p>
      <w:pPr>
        <w:pStyle w:val="14"/>
        <w:ind w:firstLine="720"/>
        <w:jc w:val="both"/>
        <w:rPr/>
      </w:pPr>
      <w:r>
        <w:rPr/>
        <w:t>Программное обеспечение "</w:t>
      </w:r>
      <w:r>
        <w:rPr>
          <w:b/>
          <w:bCs/>
        </w:rPr>
        <w:t>Billberry Billing</w:t>
      </w:r>
      <w:r>
        <w:rPr/>
        <w:t xml:space="preserve">" — это автоматизированная система расчетов и учета договоров, заключенных с региональным оператором по обращению с ТКО. Учитывая отраслевую специфику, система позволяет автоматизировать и оптимизировать бизнес-процессы регионального оператора, что дает возможность оперативно и своевременно принимать верные управленческие решения. </w:t>
      </w:r>
    </w:p>
    <w:p>
      <w:pPr>
        <w:pStyle w:val="14"/>
        <w:ind w:firstLine="720"/>
        <w:jc w:val="both"/>
        <w:rPr/>
      </w:pPr>
      <w:r>
        <w:rPr/>
        <w:t>Отличительные особенности системы «</w:t>
      </w:r>
      <w:r>
        <w:rPr>
          <w:lang w:val="en-US"/>
        </w:rPr>
        <w:t>Billberry</w:t>
      </w:r>
      <w:r>
        <w:rPr/>
        <w:t xml:space="preserve"> </w:t>
      </w:r>
      <w:r>
        <w:rPr>
          <w:lang w:val="en-US"/>
        </w:rPr>
        <w:t>Billing</w:t>
      </w:r>
      <w:r>
        <w:rPr/>
        <w:t>»:</w:t>
      </w:r>
    </w:p>
    <w:p>
      <w:pPr>
        <w:pStyle w:val="14"/>
        <w:numPr>
          <w:ilvl w:val="0"/>
          <w:numId w:val="1"/>
        </w:numPr>
        <w:ind w:left="1134" w:hanging="218"/>
        <w:jc w:val="both"/>
        <w:rPr/>
      </w:pPr>
      <w:r>
        <w:rPr>
          <w:b/>
          <w:bCs/>
        </w:rPr>
        <w:t>Автоматизация процессов. </w:t>
      </w:r>
      <w:r>
        <w:rPr/>
        <w:t>Автоматизация процесса заключения договора и процесса формирования начислений с учетом индивидуальных характеристик источников образования ТКО поможет ускорить и упростить работу специалистов, а также избежать ошибок и своевременно предоставить платежные документы;</w:t>
      </w:r>
    </w:p>
    <w:p>
      <w:pPr>
        <w:pStyle w:val="14"/>
        <w:numPr>
          <w:ilvl w:val="0"/>
          <w:numId w:val="1"/>
        </w:numPr>
        <w:ind w:left="1134" w:hanging="218"/>
        <w:jc w:val="both"/>
        <w:rPr/>
      </w:pPr>
      <w:r>
        <w:rPr>
          <w:b/>
          <w:bCs/>
        </w:rPr>
        <w:t>Коммерческий учет.</w:t>
      </w:r>
      <w:r>
        <w:rPr/>
        <w:t> В системе заложены алгоритмы расчета для всех вариантов коммерческого учета объема и (или) массы ТКО, которые могут быть скорректированы с учетом изменения действующего законодательства;</w:t>
      </w:r>
    </w:p>
    <w:p>
      <w:pPr>
        <w:pStyle w:val="14"/>
        <w:numPr>
          <w:ilvl w:val="0"/>
          <w:numId w:val="1"/>
        </w:numPr>
        <w:ind w:left="1134" w:hanging="218"/>
        <w:jc w:val="both"/>
        <w:rPr/>
      </w:pPr>
      <w:r>
        <w:rPr>
          <w:b/>
          <w:bCs/>
        </w:rPr>
        <w:t>Интеграция со сторонними системами. </w:t>
      </w:r>
      <w:r>
        <w:rPr/>
        <w:t>Интеграция с системами контроля логистики "SmartRO" (ООО "СОЮЗ 317") и "Maxoptra" (ООО "НПК "Маджента Девелопмент"), документооборота и бухгалтерского учета (1С) позволяют комплексно управлять всем процессом оказания услуги. Также возможен переход на Billberry Billing из системы 1С;</w:t>
      </w:r>
    </w:p>
    <w:p>
      <w:pPr>
        <w:pStyle w:val="14"/>
        <w:numPr>
          <w:ilvl w:val="0"/>
          <w:numId w:val="1"/>
        </w:numPr>
        <w:ind w:left="1134" w:hanging="218"/>
        <w:jc w:val="both"/>
        <w:rPr/>
      </w:pPr>
      <w:r>
        <w:rPr>
          <w:b/>
          <w:bCs/>
        </w:rPr>
        <w:t>Интеграция с ФГИС УТКО. </w:t>
      </w:r>
      <w:r>
        <w:rPr/>
        <w:t>Настроенный процесс формирования отчетных форм для ФГИС УТКО обеспечивает оперативное предоставление необходимой информации, а гибкость формирования отчетов позволяет легко адаптировать систему под постоянно меняющиеся требования отраслевого законодательства;</w:t>
      </w:r>
    </w:p>
    <w:p>
      <w:pPr>
        <w:pStyle w:val="14"/>
        <w:numPr>
          <w:ilvl w:val="0"/>
          <w:numId w:val="1"/>
        </w:numPr>
        <w:ind w:left="1134" w:hanging="218"/>
        <w:jc w:val="both"/>
        <w:rPr/>
      </w:pPr>
      <w:r>
        <w:rPr>
          <w:b/>
          <w:bCs/>
        </w:rPr>
        <w:t>Работа с дебиторской задолженностью. </w:t>
      </w:r>
      <w:r>
        <w:rPr/>
        <w:t>Специальные отчеты и события по работе с дебиторской задолженностью помогут разработать эффективную внутреннюю политику по взысканию задолженности на основе консолидированной информации по всем договорам;</w:t>
      </w:r>
    </w:p>
    <w:p>
      <w:pPr>
        <w:pStyle w:val="14"/>
        <w:numPr>
          <w:ilvl w:val="0"/>
          <w:numId w:val="1"/>
        </w:numPr>
        <w:ind w:left="1134" w:hanging="218"/>
        <w:jc w:val="both"/>
        <w:rPr/>
      </w:pPr>
      <w:r>
        <w:rPr>
          <w:b/>
          <w:bCs/>
        </w:rPr>
        <w:t>Шаблоны в быстром доступе.</w:t>
      </w:r>
      <w:r>
        <w:rPr/>
        <w:t> Система позволяет создавать шаблоны типовых писем и документов с возможностью индивидуального и пакетного формирования, в том числе с целью применения в досудебной работе (формирование претензий по выборке должников с фиксацией их как юридически значимых сообщений с указанием реквизитов почтовых отправлений и данных ШПИ).</w:t>
      </w:r>
    </w:p>
    <w:p>
      <w:pPr>
        <w:pStyle w:val="14"/>
        <w:ind w:firstLine="720"/>
        <w:jc w:val="both"/>
        <w:rPr/>
      </w:pPr>
      <w:r>
        <w:rPr/>
      </w:r>
    </w:p>
    <w:p>
      <w:pPr>
        <w:pStyle w:val="14"/>
        <w:ind w:firstLine="720"/>
        <w:jc w:val="both"/>
        <w:rPr/>
      </w:pPr>
      <w:r>
        <w:rPr/>
        <w:t>Функциональные возможности системы «</w:t>
      </w:r>
      <w:r>
        <w:rPr>
          <w:lang w:val="en-US"/>
        </w:rPr>
        <w:t>Billberry</w:t>
      </w:r>
      <w:r>
        <w:rPr/>
        <w:t xml:space="preserve"> </w:t>
      </w:r>
      <w:r>
        <w:rPr>
          <w:lang w:val="en-US"/>
        </w:rPr>
        <w:t>Billing</w:t>
      </w:r>
      <w:r>
        <w:rPr/>
        <w:t>»:</w:t>
      </w:r>
    </w:p>
    <w:p>
      <w:pPr>
        <w:pStyle w:val="14"/>
        <w:numPr>
          <w:ilvl w:val="0"/>
          <w:numId w:val="2"/>
        </w:numPr>
        <w:jc w:val="both"/>
        <w:rPr/>
      </w:pPr>
      <w:r>
        <w:rPr>
          <w:b/>
          <w:bCs/>
        </w:rPr>
        <w:t>Независимые справочники:</w:t>
      </w:r>
    </w:p>
    <w:p>
      <w:pPr>
        <w:pStyle w:val="14"/>
        <w:numPr>
          <w:ilvl w:val="0"/>
          <w:numId w:val="3"/>
        </w:numPr>
        <w:jc w:val="both"/>
        <w:rPr/>
      </w:pPr>
      <w:r>
        <w:rPr/>
        <w:t>ведение независимых справочников: контрагенты, договоры, объекты недвижимости, места накопления ТКО, адреса и другие.</w:t>
      </w:r>
    </w:p>
    <w:p>
      <w:pPr>
        <w:pStyle w:val="14"/>
        <w:numPr>
          <w:ilvl w:val="0"/>
          <w:numId w:val="2"/>
        </w:numPr>
        <w:jc w:val="both"/>
        <w:rPr/>
      </w:pPr>
      <w:r>
        <w:rPr>
          <w:b/>
          <w:bCs/>
        </w:rPr>
        <w:t>Договоры:</w:t>
      </w:r>
    </w:p>
    <w:p>
      <w:pPr>
        <w:pStyle w:val="14"/>
        <w:numPr>
          <w:ilvl w:val="0"/>
          <w:numId w:val="3"/>
        </w:numPr>
        <w:jc w:val="both"/>
        <w:rPr/>
      </w:pPr>
      <w:r>
        <w:rPr/>
        <w:t>создание договора и его связи с объектами недвижимости, местами накопления ТКО, ответственными лицами;</w:t>
      </w:r>
    </w:p>
    <w:p>
      <w:pPr>
        <w:pStyle w:val="14"/>
        <w:numPr>
          <w:ilvl w:val="0"/>
          <w:numId w:val="3"/>
        </w:numPr>
        <w:jc w:val="both"/>
        <w:rPr/>
      </w:pPr>
      <w:r>
        <w:rPr/>
        <w:t>печать договора, приложений и шаблонов деловой переписки;</w:t>
      </w:r>
    </w:p>
    <w:p>
      <w:pPr>
        <w:pStyle w:val="14"/>
        <w:numPr>
          <w:ilvl w:val="0"/>
          <w:numId w:val="3"/>
        </w:numPr>
        <w:jc w:val="both"/>
        <w:rPr/>
      </w:pPr>
      <w:r>
        <w:rPr/>
        <w:t>выставление платежных документов, счетов, актов выполненных работ, актов сверки;</w:t>
      </w:r>
    </w:p>
    <w:p>
      <w:pPr>
        <w:pStyle w:val="14"/>
        <w:numPr>
          <w:ilvl w:val="0"/>
          <w:numId w:val="3"/>
        </w:numPr>
        <w:jc w:val="both"/>
        <w:rPr/>
      </w:pPr>
      <w:r>
        <w:rPr/>
        <w:t>миграция или интеграция договоров из системы 1С.</w:t>
      </w:r>
    </w:p>
    <w:p>
      <w:pPr>
        <w:pStyle w:val="14"/>
        <w:numPr>
          <w:ilvl w:val="0"/>
          <w:numId w:val="2"/>
        </w:numPr>
        <w:ind w:left="1134" w:hanging="0"/>
        <w:jc w:val="both"/>
        <w:rPr/>
      </w:pPr>
      <w:r>
        <w:rPr>
          <w:b/>
          <w:bCs/>
        </w:rPr>
        <w:t xml:space="preserve"> </w:t>
      </w:r>
      <w:r>
        <w:rPr>
          <w:b/>
          <w:bCs/>
        </w:rPr>
        <w:t>Алгоритмы расчета:</w:t>
      </w:r>
    </w:p>
    <w:p>
      <w:pPr>
        <w:pStyle w:val="14"/>
        <w:numPr>
          <w:ilvl w:val="0"/>
          <w:numId w:val="4"/>
        </w:numPr>
        <w:ind w:left="1854" w:hanging="11"/>
        <w:jc w:val="both"/>
        <w:rPr/>
      </w:pPr>
      <w:r>
        <w:rPr/>
        <w:t>автоматизированный расчет исходя из характеристик объекта недвижимости;</w:t>
      </w:r>
    </w:p>
    <w:p>
      <w:pPr>
        <w:pStyle w:val="14"/>
        <w:numPr>
          <w:ilvl w:val="0"/>
          <w:numId w:val="4"/>
        </w:numPr>
        <w:ind w:left="1854" w:hanging="11"/>
        <w:jc w:val="both"/>
        <w:rPr/>
      </w:pPr>
      <w:r>
        <w:rPr/>
        <w:t>все способы коммерческого учета при расчете начислений в соответствии с требованиями законодательства;</w:t>
      </w:r>
    </w:p>
    <w:p>
      <w:pPr>
        <w:pStyle w:val="14"/>
        <w:numPr>
          <w:ilvl w:val="0"/>
          <w:numId w:val="4"/>
        </w:numPr>
        <w:ind w:left="1854" w:hanging="11"/>
        <w:jc w:val="both"/>
        <w:rPr/>
      </w:pPr>
      <w:r>
        <w:rPr/>
        <w:t>массовое формирование начислений по определенной выборке договоров.</w:t>
      </w:r>
    </w:p>
    <w:p>
      <w:pPr>
        <w:pStyle w:val="14"/>
        <w:numPr>
          <w:ilvl w:val="0"/>
          <w:numId w:val="2"/>
        </w:numPr>
        <w:ind w:left="1134" w:hanging="0"/>
        <w:jc w:val="both"/>
        <w:rPr/>
      </w:pPr>
      <w:r>
        <w:rPr>
          <w:b/>
          <w:bCs/>
        </w:rPr>
        <w:t xml:space="preserve"> </w:t>
      </w:r>
      <w:r>
        <w:rPr>
          <w:b/>
          <w:bCs/>
        </w:rPr>
        <w:t>Бухгалтерия:</w:t>
      </w:r>
    </w:p>
    <w:p>
      <w:pPr>
        <w:pStyle w:val="14"/>
        <w:numPr>
          <w:ilvl w:val="0"/>
          <w:numId w:val="5"/>
        </w:numPr>
        <w:ind w:left="1854" w:hanging="11"/>
        <w:jc w:val="both"/>
        <w:rPr/>
      </w:pPr>
      <w:r>
        <w:rPr/>
        <w:t>выставление корректировочных, исправительных и сторнирующих документов по договору;</w:t>
      </w:r>
    </w:p>
    <w:p>
      <w:pPr>
        <w:pStyle w:val="14"/>
        <w:numPr>
          <w:ilvl w:val="0"/>
          <w:numId w:val="5"/>
        </w:numPr>
        <w:ind w:left="1854" w:hanging="11"/>
        <w:jc w:val="both"/>
        <w:rPr/>
      </w:pPr>
      <w:r>
        <w:rPr/>
        <w:t>импорт оплат из системы 1С;</w:t>
      </w:r>
    </w:p>
    <w:p>
      <w:pPr>
        <w:pStyle w:val="14"/>
        <w:numPr>
          <w:ilvl w:val="0"/>
          <w:numId w:val="5"/>
        </w:numPr>
        <w:ind w:left="1854" w:hanging="11"/>
        <w:jc w:val="both"/>
        <w:rPr/>
      </w:pPr>
      <w:r>
        <w:rPr/>
        <w:t>Экспорт контрагентов, договоров и платежных документов в систему 1С.</w:t>
      </w:r>
    </w:p>
    <w:p>
      <w:pPr>
        <w:pStyle w:val="14"/>
        <w:numPr>
          <w:ilvl w:val="0"/>
          <w:numId w:val="2"/>
        </w:numPr>
        <w:ind w:left="1134" w:hanging="0"/>
        <w:jc w:val="both"/>
        <w:rPr/>
      </w:pPr>
      <w:r>
        <w:rPr>
          <w:b/>
          <w:bCs/>
        </w:rPr>
        <w:t xml:space="preserve"> </w:t>
      </w:r>
      <w:r>
        <w:rPr>
          <w:b/>
          <w:bCs/>
        </w:rPr>
        <w:t>Работа с ДЗ:</w:t>
      </w:r>
    </w:p>
    <w:p>
      <w:pPr>
        <w:pStyle w:val="14"/>
        <w:numPr>
          <w:ilvl w:val="0"/>
          <w:numId w:val="6"/>
        </w:numPr>
        <w:ind w:left="1854" w:hanging="11"/>
        <w:jc w:val="both"/>
        <w:rPr/>
      </w:pPr>
      <w:r>
        <w:rPr/>
        <w:t>ведение досудебной работы с дебиторской задолженностью - учет звонков, уведомлений о задолженности, соглашений о рассрочке и других событий;</w:t>
      </w:r>
    </w:p>
    <w:p>
      <w:pPr>
        <w:pStyle w:val="14"/>
        <w:numPr>
          <w:ilvl w:val="0"/>
          <w:numId w:val="6"/>
        </w:numPr>
        <w:ind w:left="1854" w:hanging="11"/>
        <w:jc w:val="both"/>
        <w:rPr/>
      </w:pPr>
      <w:r>
        <w:rPr/>
        <w:t>аналитическая отчетность по договорам с дебиторской задолженностью.</w:t>
      </w:r>
    </w:p>
    <w:p>
      <w:pPr>
        <w:pStyle w:val="14"/>
        <w:numPr>
          <w:ilvl w:val="0"/>
          <w:numId w:val="2"/>
        </w:numPr>
        <w:ind w:left="1134" w:hanging="0"/>
        <w:jc w:val="both"/>
        <w:rPr/>
      </w:pPr>
      <w:r>
        <w:rPr>
          <w:b/>
          <w:bCs/>
        </w:rPr>
        <w:t xml:space="preserve"> </w:t>
      </w:r>
      <w:r>
        <w:rPr>
          <w:b/>
          <w:bCs/>
        </w:rPr>
        <w:t>Отчеты:</w:t>
      </w:r>
    </w:p>
    <w:p>
      <w:pPr>
        <w:pStyle w:val="14"/>
        <w:numPr>
          <w:ilvl w:val="0"/>
          <w:numId w:val="7"/>
        </w:numPr>
        <w:ind w:left="1854" w:hanging="11"/>
        <w:jc w:val="both"/>
        <w:rPr/>
      </w:pPr>
      <w:r>
        <w:rPr/>
        <w:t>базовые отчеты, отражающие основные бизнес-процессы организации;</w:t>
      </w:r>
    </w:p>
    <w:p>
      <w:pPr>
        <w:pStyle w:val="14"/>
        <w:numPr>
          <w:ilvl w:val="0"/>
          <w:numId w:val="7"/>
        </w:numPr>
        <w:ind w:left="1854" w:hanging="11"/>
        <w:jc w:val="both"/>
        <w:rPr/>
      </w:pPr>
      <w:r>
        <w:rPr/>
        <w:t>простое и быстрое формирование любых отчетов на основе существующих данных в системе в соответствии с требованиями заказачика.</w:t>
      </w:r>
    </w:p>
    <w:p>
      <w:pPr>
        <w:pStyle w:val="14"/>
        <w:numPr>
          <w:ilvl w:val="0"/>
          <w:numId w:val="2"/>
        </w:numPr>
        <w:ind w:left="1134" w:hanging="0"/>
        <w:jc w:val="both"/>
        <w:rPr/>
      </w:pPr>
      <w:r>
        <w:rPr>
          <w:b/>
          <w:bCs/>
        </w:rPr>
        <w:t xml:space="preserve"> </w:t>
      </w:r>
      <w:r>
        <w:rPr>
          <w:b/>
          <w:bCs/>
        </w:rPr>
        <w:t>Личный кабинет:</w:t>
      </w:r>
    </w:p>
    <w:p>
      <w:pPr>
        <w:pStyle w:val="14"/>
        <w:numPr>
          <w:ilvl w:val="0"/>
          <w:numId w:val="8"/>
        </w:numPr>
        <w:ind w:left="1854" w:hanging="11"/>
        <w:jc w:val="both"/>
        <w:rPr/>
      </w:pPr>
      <w:r>
        <w:rPr/>
        <w:t>интеграция с программным обеспечением "Личный кабинет "eCode";</w:t>
      </w:r>
    </w:p>
    <w:p>
      <w:pPr>
        <w:pStyle w:val="14"/>
        <w:numPr>
          <w:ilvl w:val="0"/>
          <w:numId w:val="8"/>
        </w:numPr>
        <w:ind w:left="1854" w:hanging="11"/>
        <w:jc w:val="both"/>
        <w:rPr/>
      </w:pPr>
      <w:r>
        <w:rPr/>
        <w:t>электронный архив, содержащий полную историю взаимодействия с Региональным оператором;</w:t>
      </w:r>
    </w:p>
    <w:p>
      <w:pPr>
        <w:pStyle w:val="14"/>
        <w:numPr>
          <w:ilvl w:val="0"/>
          <w:numId w:val="8"/>
        </w:numPr>
        <w:ind w:left="1854" w:hanging="11"/>
        <w:jc w:val="both"/>
        <w:rPr/>
      </w:pPr>
      <w:r>
        <w:rPr/>
        <w:t>круглосуточный доступ к платежным документам за все периоды, истории оплат, а также документам по рассрочке.</w:t>
      </w:r>
    </w:p>
    <w:p>
      <w:pPr>
        <w:pStyle w:val="14"/>
        <w:ind w:firstLine="720"/>
        <w:jc w:val="both"/>
        <w:rPr/>
      </w:pPr>
      <w:r>
        <w:rPr/>
      </w:r>
    </w:p>
    <w:p>
      <w:pPr>
        <w:pStyle w:val="14"/>
        <w:ind w:firstLine="720"/>
        <w:jc w:val="both"/>
        <w:rPr/>
      </w:pPr>
      <w:r>
        <w:rPr/>
        <w:t>Система «</w:t>
      </w:r>
      <w:r>
        <w:rPr>
          <w:lang w:val="en-US"/>
        </w:rPr>
        <w:t>Billberry</w:t>
      </w:r>
      <w:r>
        <w:rPr/>
        <w:t xml:space="preserve"> </w:t>
      </w:r>
      <w:r>
        <w:rPr>
          <w:lang w:val="en-US"/>
        </w:rPr>
        <w:t>Billing</w:t>
      </w:r>
      <w:r>
        <w:rPr/>
        <w:t xml:space="preserve">» написана на платформе ASP.NET Core 6.0, с использованием языка программирования </w:t>
      </w:r>
      <w:r>
        <w:rPr>
          <w:lang w:val="en-US"/>
        </w:rPr>
        <w:t>C</w:t>
      </w:r>
      <w:r>
        <w:rPr/>
        <w:t xml:space="preserve">#. Работает с базой данных </w:t>
      </w:r>
      <w:r>
        <w:rPr>
          <w:lang w:val="en-US"/>
        </w:rPr>
        <w:t>MS</w:t>
      </w:r>
      <w:r>
        <w:rPr/>
        <w:t xml:space="preserve"> </w:t>
      </w:r>
      <w:r>
        <w:rPr>
          <w:lang w:val="en-US"/>
        </w:rPr>
        <w:t>SQL</w:t>
      </w:r>
      <w:r>
        <w:rPr/>
        <w:t xml:space="preserve">, </w:t>
      </w:r>
      <w:r>
        <w:rPr>
          <w:lang w:val="en-US"/>
        </w:rPr>
        <w:t>P</w:t>
      </w:r>
      <w:r>
        <w:rPr/>
        <w:t xml:space="preserve">ostgresql. Визуальные компоненты реализуются с использованием языков программирования </w:t>
      </w:r>
      <w:r>
        <w:rPr>
          <w:lang w:val="en-US"/>
        </w:rPr>
        <w:t>JavaScript</w:t>
      </w:r>
      <w:r>
        <w:rPr/>
        <w:t xml:space="preserve"> и </w:t>
      </w:r>
      <w:r>
        <w:rPr>
          <w:lang w:val="en-US"/>
        </w:rPr>
        <w:t>TypeScript</w:t>
      </w:r>
      <w:r>
        <w:rPr/>
        <w:t>. Инструменты разработки - Visual Studio, библиотека компонент – Telerik, библиотека отчетной подсистемы – Fastreport.</w:t>
      </w:r>
    </w:p>
    <w:p>
      <w:pPr>
        <w:pStyle w:val="14"/>
        <w:ind w:firstLine="720"/>
        <w:jc w:val="both"/>
        <w:rPr/>
      </w:pPr>
      <w:r>
        <w:rPr/>
        <w:t>Системные требования к рабочему месту оператора системы:</w:t>
      </w:r>
    </w:p>
    <w:p>
      <w:pPr>
        <w:pStyle w:val="14"/>
        <w:ind w:left="1134" w:hanging="0"/>
        <w:jc w:val="both"/>
        <w:rPr/>
      </w:pPr>
      <w:bookmarkStart w:id="3" w:name="bookmark3"/>
      <w:bookmarkEnd w:id="3"/>
      <w:r>
        <w:rPr/>
        <w:t>Процессор: 2 ядра и более;</w:t>
      </w:r>
    </w:p>
    <w:p>
      <w:pPr>
        <w:pStyle w:val="14"/>
        <w:ind w:left="1134" w:hanging="0"/>
        <w:jc w:val="both"/>
        <w:rPr/>
      </w:pPr>
      <w:bookmarkStart w:id="4" w:name="bookmark5"/>
      <w:bookmarkStart w:id="5" w:name="bookmark4"/>
      <w:bookmarkEnd w:id="4"/>
      <w:bookmarkEnd w:id="5"/>
      <w:r>
        <w:rPr/>
        <w:t>Оперативная память: 4 Гб и более;</w:t>
      </w:r>
    </w:p>
    <w:p>
      <w:pPr>
        <w:pStyle w:val="14"/>
        <w:ind w:left="1134" w:hanging="0"/>
        <w:jc w:val="both"/>
        <w:rPr/>
      </w:pPr>
      <w:bookmarkStart w:id="6" w:name="bookmark7"/>
      <w:bookmarkStart w:id="7" w:name="bookmark6"/>
      <w:bookmarkEnd w:id="6"/>
      <w:bookmarkEnd w:id="7"/>
      <w:r>
        <w:rPr/>
        <w:t>Операционная система: Microsoft Windows, Linu</w:t>
      </w:r>
      <w:r>
        <w:rPr>
          <w:lang w:val="en-US"/>
        </w:rPr>
        <w:t>x</w:t>
      </w:r>
      <w:r>
        <w:rPr/>
        <w:t>.</w:t>
      </w:r>
    </w:p>
    <w:sectPr>
      <w:type w:val="nextPage"/>
      <w:pgSz w:w="11906" w:h="16838"/>
      <w:pgMar w:left="1134" w:right="1105" w:gutter="0" w:header="0" w:top="1138" w:footer="0" w:bottom="11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DejaVu Sans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221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74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ans" w:hAnsi="DejaVu Sans" w:eastAsia="DejaVu Sans" w:cs="DejaVu Sans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DejaVu Sans" w:hAnsi="DejaVu Sans" w:eastAsia="DejaVu Sans" w:cs="DejaVu Sans"/>
      <w:color w:val="000000"/>
      <w:kern w:val="0"/>
      <w:sz w:val="24"/>
      <w:szCs w:val="24"/>
      <w:lang w:val="ru-RU" w:eastAsia="ru-RU" w:bidi="ru-RU"/>
    </w:rPr>
  </w:style>
  <w:style w:type="paragraph" w:styleId="1">
    <w:name w:val="Heading 1"/>
    <w:basedOn w:val="Normal"/>
    <w:next w:val="Normal"/>
    <w:link w:val="12"/>
    <w:uiPriority w:val="9"/>
    <w:qFormat/>
    <w:rsid w:val="004f5ce3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Основной текст (3)_"/>
    <w:basedOn w:val="DefaultParagraphFont"/>
    <w:link w:val="3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32"/>
      <w:szCs w:val="32"/>
      <w:u w:val="none"/>
      <w:shd w:fill="auto" w:val="clear"/>
    </w:rPr>
  </w:style>
  <w:style w:type="character" w:styleId="11" w:customStyle="1">
    <w:name w:val="Заголовок №1_"/>
    <w:basedOn w:val="DefaultParagraphFont"/>
    <w:link w:val="1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40"/>
      <w:szCs w:val="40"/>
      <w:u w:val="none"/>
      <w:shd w:fill="auto" w:val="clear"/>
    </w:rPr>
  </w:style>
  <w:style w:type="character" w:styleId="Style13" w:customStyle="1">
    <w:name w:val="Основной текст_"/>
    <w:basedOn w:val="DefaultParagraphFont"/>
    <w:link w:val="1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shd w:fill="auto" w:val="clear"/>
    </w:rPr>
  </w:style>
  <w:style w:type="character" w:styleId="2" w:customStyle="1">
    <w:name w:val="Основной текст (2)_"/>
    <w:basedOn w:val="DefaultParagraphFont"/>
    <w:link w:val="21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shd w:fill="auto" w:val="clear"/>
    </w:rPr>
  </w:style>
  <w:style w:type="character" w:styleId="Style14" w:customStyle="1">
    <w:name w:val="Подпись к картинке_"/>
    <w:basedOn w:val="DefaultParagraphFont"/>
    <w:link w:val="Style2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  <w:shd w:fill="auto" w:val="clear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4f5ce3"/>
    <w:rPr>
      <w:color w:val="000000"/>
    </w:rPr>
  </w:style>
  <w:style w:type="character" w:styleId="Style16" w:customStyle="1">
    <w:name w:val="Нижний колонтитул Знак"/>
    <w:basedOn w:val="DefaultParagraphFont"/>
    <w:uiPriority w:val="99"/>
    <w:qFormat/>
    <w:rsid w:val="004f5ce3"/>
    <w:rPr>
      <w:color w:val="000000"/>
    </w:rPr>
  </w:style>
  <w:style w:type="character" w:styleId="12" w:customStyle="1">
    <w:name w:val="Заголовок 1 Знак"/>
    <w:basedOn w:val="DefaultParagraphFont"/>
    <w:uiPriority w:val="9"/>
    <w:qFormat/>
    <w:rsid w:val="004f5ce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31" w:customStyle="1">
    <w:name w:val="Основной текст (3)"/>
    <w:basedOn w:val="Normal"/>
    <w:link w:val="3"/>
    <w:qFormat/>
    <w:pPr>
      <w:spacing w:before="0" w:after="360"/>
      <w:jc w:val="center"/>
    </w:pPr>
    <w:rPr>
      <w:rFonts w:ascii="Times New Roman" w:hAnsi="Times New Roman" w:eastAsia="Times New Roman" w:cs="Times New Roman"/>
      <w:sz w:val="32"/>
      <w:szCs w:val="32"/>
    </w:rPr>
  </w:style>
  <w:style w:type="paragraph" w:styleId="13" w:customStyle="1">
    <w:name w:val="Заголовок №1"/>
    <w:basedOn w:val="Normal"/>
    <w:link w:val="11"/>
    <w:qFormat/>
    <w:pPr>
      <w:spacing w:before="0" w:after="360"/>
      <w:jc w:val="center"/>
      <w:outlineLvl w:val="0"/>
    </w:pPr>
    <w:rPr>
      <w:rFonts w:ascii="Times New Roman" w:hAnsi="Times New Roman" w:eastAsia="Times New Roman" w:cs="Times New Roman"/>
      <w:b/>
      <w:bCs/>
      <w:sz w:val="40"/>
      <w:szCs w:val="40"/>
    </w:rPr>
  </w:style>
  <w:style w:type="paragraph" w:styleId="14" w:customStyle="1">
    <w:name w:val="Основной текст1"/>
    <w:basedOn w:val="Normal"/>
    <w:link w:val="Style13"/>
    <w:qFormat/>
    <w:pPr>
      <w:spacing w:lineRule="auto" w:line="36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21" w:customStyle="1">
    <w:name w:val="Основной текст (2)"/>
    <w:basedOn w:val="Normal"/>
    <w:link w:val="2"/>
    <w:qFormat/>
    <w:pPr>
      <w:spacing w:lineRule="auto" w:line="312"/>
      <w:ind w:firstLine="380"/>
    </w:pPr>
    <w:rPr>
      <w:rFonts w:ascii="Calibri" w:hAnsi="Calibri" w:eastAsia="Calibri" w:cs="Calibri"/>
      <w:sz w:val="28"/>
      <w:szCs w:val="28"/>
    </w:rPr>
  </w:style>
  <w:style w:type="paragraph" w:styleId="Style22" w:customStyle="1">
    <w:name w:val="Подпись к картинке"/>
    <w:basedOn w:val="Normal"/>
    <w:link w:val="Style14"/>
    <w:qFormat/>
    <w:pPr/>
    <w:rPr>
      <w:rFonts w:ascii="Times New Roman" w:hAnsi="Times New Roman" w:eastAsia="Times New Roman" w:cs="Times New Roman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5"/>
    <w:uiPriority w:val="99"/>
    <w:unhideWhenUsed/>
    <w:rsid w:val="004f5ce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6"/>
    <w:uiPriority w:val="99"/>
    <w:unhideWhenUsed/>
    <w:rsid w:val="004f5ce3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LibreOffice/7.3.7.2$Linux_X86_64 LibreOffice_project/30$Build-2</Application>
  <AppVersion>15.0000</AppVersion>
  <Pages>3</Pages>
  <Words>549</Words>
  <Characters>3939</Characters>
  <CharactersWithSpaces>4425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2024-07-10T10:13:00Z</dcterms:created>
  <dc:creator>havast</dc:creator>
  <dc:description/>
  <dc:language>ru-RU</dc:language>
  <cp:lastModifiedBy>Кайсарова Наталья Сергеевна</cp:lastModifiedBy>
  <dcterms:modified xsi:type="dcterms:W3CDTF">2025-11-20T09:40:00Z</dcterms:modified>
  <cp:revision>19</cp:revision>
  <dc:subject/>
  <dc:title>РЕФЕРАТ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